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4CA25A78" w:rsidR="00495C17" w:rsidRPr="00B80689" w:rsidRDefault="00AD5571" w:rsidP="00495C17">
      <w:pPr>
        <w:pStyle w:val="a5"/>
        <w:tabs>
          <w:tab w:val="right" w:pos="9639"/>
        </w:tabs>
        <w:rPr>
          <w:noProof w:val="0"/>
          <w:sz w:val="24"/>
          <w:szCs w:val="24"/>
        </w:rPr>
      </w:pPr>
      <w:r w:rsidRPr="00AD5571">
        <w:rPr>
          <w:noProof w:val="0"/>
          <w:sz w:val="24"/>
          <w:szCs w:val="24"/>
        </w:rPr>
        <w:t>3GPP TSG-WG SA2 Meeting #16</w:t>
      </w:r>
      <w:r w:rsidR="00A31417">
        <w:rPr>
          <w:noProof w:val="0"/>
          <w:sz w:val="24"/>
          <w:szCs w:val="24"/>
        </w:rPr>
        <w:t>7</w:t>
      </w:r>
      <w:r w:rsidR="00495C17" w:rsidRPr="00B80689">
        <w:rPr>
          <w:bCs/>
          <w:noProof w:val="0"/>
          <w:sz w:val="24"/>
          <w:szCs w:val="24"/>
        </w:rPr>
        <w:tab/>
      </w:r>
      <w:r w:rsidR="00302E83" w:rsidRPr="00302E83">
        <w:rPr>
          <w:bCs/>
          <w:noProof w:val="0"/>
          <w:sz w:val="24"/>
          <w:szCs w:val="24"/>
        </w:rPr>
        <w:t>S2-2</w:t>
      </w:r>
      <w:r w:rsidR="000A29DA">
        <w:rPr>
          <w:bCs/>
          <w:noProof w:val="0"/>
          <w:sz w:val="24"/>
          <w:szCs w:val="24"/>
        </w:rPr>
        <w:t>5</w:t>
      </w:r>
      <w:r w:rsidR="00C242A9">
        <w:rPr>
          <w:bCs/>
          <w:noProof w:val="0"/>
          <w:sz w:val="24"/>
          <w:szCs w:val="24"/>
        </w:rPr>
        <w:t>01691</w:t>
      </w:r>
    </w:p>
    <w:p w14:paraId="7CB45193" w14:textId="1ED19DC4" w:rsidR="001E41F3" w:rsidRPr="00495C17" w:rsidRDefault="00AB5F81" w:rsidP="7CFBD186">
      <w:pPr>
        <w:pStyle w:val="3GPPHeader"/>
        <w:rPr>
          <w:rFonts w:ascii="Arial" w:eastAsia="宋体" w:hAnsi="Arial" w:cs="Arial"/>
        </w:rPr>
      </w:pPr>
      <w:r w:rsidRPr="00AB5F81">
        <w:rPr>
          <w:rFonts w:ascii="Arial" w:eastAsia="宋体" w:hAnsi="Arial" w:cs="Arial"/>
        </w:rPr>
        <w:t>Athens, Greece, 17 – 21 February 2025</w:t>
      </w:r>
      <w:r w:rsidR="4A6546CA" w:rsidRPr="7CFBD186">
        <w:rPr>
          <w:rFonts w:ascii="Arial" w:eastAsia="宋体"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CF1484" w:rsidP="00AC1D5A">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32507A">
              <w:rPr>
                <w:b/>
                <w:noProof/>
                <w:sz w:val="28"/>
              </w:rPr>
              <w:t>3</w:t>
            </w:r>
            <w:r>
              <w:rPr>
                <w:b/>
                <w:noProof/>
                <w:sz w:val="28"/>
              </w:rPr>
              <w:fldChar w:fldCharType="end"/>
            </w:r>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56167259" w:rsidR="005701DE" w:rsidRPr="00410371" w:rsidRDefault="00A116DF" w:rsidP="00043B97">
            <w:pPr>
              <w:pStyle w:val="CRCoverPage"/>
              <w:spacing w:after="0"/>
              <w:ind w:right="562"/>
              <w:jc w:val="right"/>
              <w:rPr>
                <w:noProof/>
              </w:rPr>
            </w:pPr>
            <w:r>
              <w:rPr>
                <w:b/>
                <w:noProof/>
                <w:sz w:val="28"/>
              </w:rPr>
              <w:t>1512</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84EF499" w:rsidR="005701DE" w:rsidRPr="00410371" w:rsidRDefault="009404EE"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CF1484" w:rsidP="00AC1D5A">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462A2">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070BFD0" w:rsidR="00A302F6" w:rsidRDefault="00A31417" w:rsidP="00AC1D5A">
            <w:pPr>
              <w:pStyle w:val="CRCoverPage"/>
              <w:spacing w:after="0"/>
              <w:ind w:left="100"/>
              <w:rPr>
                <w:noProof/>
              </w:rPr>
            </w:pPr>
            <w:r w:rsidRPr="00A31417">
              <w:t>Architecture and interface update with EIF</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603428A" w:rsidR="00A302F6" w:rsidRDefault="00565D8C" w:rsidP="00AC1D5A">
            <w:pPr>
              <w:pStyle w:val="CRCoverPage"/>
              <w:spacing w:after="0"/>
              <w:ind w:left="100"/>
              <w:rPr>
                <w:noProof/>
              </w:rPr>
            </w:pPr>
            <w:r>
              <w:t>v</w:t>
            </w:r>
            <w:r w:rsidR="0021041D">
              <w:t>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B255935" w:rsidR="00A302F6" w:rsidRDefault="006A1B40" w:rsidP="00AC1D5A">
            <w:pPr>
              <w:pStyle w:val="CRCoverPage"/>
              <w:spacing w:after="0"/>
              <w:ind w:left="100"/>
              <w:rPr>
                <w:noProof/>
              </w:rPr>
            </w:pPr>
            <w:r w:rsidRPr="006A1B40">
              <w:t>202</w:t>
            </w:r>
            <w:r w:rsidR="0050736B">
              <w:t>5</w:t>
            </w:r>
            <w:r w:rsidRPr="006A1B40">
              <w:t>-</w:t>
            </w:r>
            <w:r w:rsidR="0050736B">
              <w:t>0</w:t>
            </w:r>
            <w:r w:rsidR="00B81FF7">
              <w:t>2</w:t>
            </w:r>
            <w:r w:rsidRPr="006A1B40">
              <w:t>-</w:t>
            </w:r>
            <w:r w:rsidR="002A315A">
              <w:t>10</w:t>
            </w:r>
            <w:bookmarkStart w:id="0" w:name="_GoBack"/>
            <w:bookmarkEnd w:id="0"/>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FACC8" w14:textId="77777777" w:rsidR="00B81FF7" w:rsidRDefault="00B81FF7" w:rsidP="00B81FF7">
            <w:pPr>
              <w:pStyle w:val="CRCoverPage"/>
              <w:spacing w:after="0"/>
              <w:ind w:left="100"/>
              <w:rPr>
                <w:noProof/>
              </w:rPr>
            </w:pPr>
            <w:r>
              <w:rPr>
                <w:noProof/>
              </w:rPr>
              <w:t>According to the conclusion of TR23.700-66 as below:</w:t>
            </w:r>
          </w:p>
          <w:p w14:paraId="56946C64" w14:textId="77777777" w:rsidR="00B81FF7" w:rsidRPr="00B81FF7" w:rsidRDefault="00B81FF7" w:rsidP="00B81FF7">
            <w:pPr>
              <w:pStyle w:val="CRCoverPage"/>
              <w:spacing w:after="0"/>
              <w:ind w:left="100"/>
              <w:rPr>
                <w:i/>
                <w:noProof/>
              </w:rPr>
            </w:pPr>
            <w:r w:rsidRPr="00B81FF7">
              <w:rPr>
                <w:i/>
                <w:noProof/>
              </w:rPr>
              <w:t>The PCF may receive UE subscription data and notification related to the energy related information to trigger making policy decisions (reusing the existing parameters) based on operator policy.</w:t>
            </w:r>
          </w:p>
          <w:p w14:paraId="170F1C36" w14:textId="77777777" w:rsidR="00B81FF7" w:rsidRDefault="00B81FF7" w:rsidP="00B81FF7">
            <w:pPr>
              <w:pStyle w:val="CRCoverPage"/>
              <w:spacing w:after="0"/>
              <w:ind w:left="100"/>
              <w:rPr>
                <w:noProof/>
              </w:rPr>
            </w:pPr>
          </w:p>
          <w:p w14:paraId="7F9D2E28" w14:textId="77777777" w:rsidR="00A302F6" w:rsidRDefault="00B81FF7" w:rsidP="00B81FF7">
            <w:pPr>
              <w:pStyle w:val="CRCoverPage"/>
              <w:spacing w:after="0"/>
              <w:ind w:left="100"/>
              <w:rPr>
                <w:noProof/>
              </w:rPr>
            </w:pPr>
            <w:r>
              <w:rPr>
                <w:noProof/>
              </w:rPr>
              <w:t xml:space="preserve">Therefore, the </w:t>
            </w:r>
            <w:r w:rsidRPr="00B81FF7">
              <w:rPr>
                <w:noProof/>
              </w:rPr>
              <w:t>architecture of policy and charging control framework for the 5G System</w:t>
            </w:r>
            <w:r>
              <w:rPr>
                <w:noProof/>
              </w:rPr>
              <w:t xml:space="preserve"> needs to be enhanced to include the EIF.</w:t>
            </w:r>
          </w:p>
          <w:p w14:paraId="16737088" w14:textId="2C5D4F50" w:rsidR="00B81FF7" w:rsidRPr="00B81FF7" w:rsidRDefault="00B81FF7" w:rsidP="00B81FF7">
            <w:pPr>
              <w:pStyle w:val="CRCoverPage"/>
              <w:spacing w:after="0"/>
              <w:ind w:left="100"/>
              <w:rPr>
                <w:noProof/>
              </w:rPr>
            </w:pPr>
            <w:r w:rsidRPr="00B81FF7">
              <w:rPr>
                <w:noProof/>
              </w:rPr>
              <w:t>Interactions between PCF and EIF</w:t>
            </w:r>
            <w:r>
              <w:rPr>
                <w:noProof/>
              </w:rPr>
              <w:t xml:space="preserve"> for policy control need to be described also.</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F7636" w14:textId="77777777" w:rsidR="00AB62A1" w:rsidRDefault="00B81FF7" w:rsidP="00A462A2">
            <w:pPr>
              <w:pStyle w:val="CRCoverPage"/>
              <w:spacing w:after="0"/>
              <w:ind w:left="100"/>
              <w:rPr>
                <w:noProof/>
                <w:lang w:eastAsia="zh-CN"/>
              </w:rPr>
            </w:pPr>
            <w:r>
              <w:rPr>
                <w:noProof/>
                <w:lang w:eastAsia="zh-CN"/>
              </w:rPr>
              <w:t xml:space="preserve">Update the </w:t>
            </w:r>
            <w:r w:rsidRPr="00B81FF7">
              <w:rPr>
                <w:noProof/>
                <w:lang w:eastAsia="zh-CN"/>
              </w:rPr>
              <w:t>architecture of policy and charging control framework for the 5G System to include the EIF</w:t>
            </w:r>
            <w:r>
              <w:rPr>
                <w:noProof/>
                <w:lang w:eastAsia="zh-CN"/>
              </w:rPr>
              <w:t>;</w:t>
            </w:r>
          </w:p>
          <w:p w14:paraId="10286948" w14:textId="0060CDB1" w:rsidR="00B81FF7" w:rsidRPr="00B81FF7" w:rsidRDefault="00B81FF7" w:rsidP="00A462A2">
            <w:pPr>
              <w:pStyle w:val="CRCoverPage"/>
              <w:spacing w:after="0"/>
              <w:ind w:left="100"/>
              <w:rPr>
                <w:noProof/>
                <w:lang w:eastAsia="zh-CN"/>
              </w:rPr>
            </w:pPr>
            <w:r>
              <w:rPr>
                <w:noProof/>
                <w:lang w:eastAsia="zh-CN"/>
              </w:rPr>
              <w:t>Add the descriptions about the i</w:t>
            </w:r>
            <w:r w:rsidRPr="00B81FF7">
              <w:rPr>
                <w:noProof/>
                <w:lang w:eastAsia="zh-CN"/>
              </w:rPr>
              <w:t>nteractions between PCF and EIF for policy control</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0BB1CDD" w:rsidR="00A302F6" w:rsidRDefault="00B81FF7" w:rsidP="00AC1D5A">
            <w:pPr>
              <w:pStyle w:val="CRCoverPage"/>
              <w:spacing w:after="0"/>
              <w:ind w:left="100"/>
              <w:rPr>
                <w:noProof/>
              </w:rPr>
            </w:pPr>
            <w:r>
              <w:rPr>
                <w:noProof/>
              </w:rPr>
              <w:t>Not support the conclusion that t</w:t>
            </w:r>
            <w:r w:rsidRPr="00B81FF7">
              <w:rPr>
                <w:noProof/>
              </w:rPr>
              <w:t>he PCF may receive the energy related information to trigger making policy decisions (reusing the existing parameters) based on operator policy</w:t>
            </w:r>
            <w:r>
              <w:rPr>
                <w:noProof/>
              </w:rPr>
              <w:t>.</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221E103" w:rsidR="00A302F6" w:rsidRDefault="00B81FF7" w:rsidP="00AC1D5A">
            <w:pPr>
              <w:pStyle w:val="CRCoverPage"/>
              <w:spacing w:after="0"/>
              <w:ind w:left="100"/>
              <w:rPr>
                <w:noProof/>
              </w:rPr>
            </w:pPr>
            <w:r>
              <w:rPr>
                <w:noProof/>
              </w:rPr>
              <w:t>5.2.1, 5.2.2, 5.3.x(new)</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4C545A92" w14:textId="77777777" w:rsidR="001F3556" w:rsidRPr="001F3556" w:rsidRDefault="001F3556" w:rsidP="001F355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0" w:name="_Toc19197299"/>
      <w:bookmarkStart w:id="11" w:name="_Toc27896452"/>
      <w:bookmarkStart w:id="12" w:name="_Toc36192620"/>
      <w:bookmarkStart w:id="13" w:name="_Toc37076351"/>
      <w:bookmarkStart w:id="14" w:name="_Toc45194797"/>
      <w:bookmarkStart w:id="15" w:name="_Toc47594209"/>
      <w:bookmarkStart w:id="16" w:name="_Toc51836840"/>
      <w:bookmarkStart w:id="17" w:name="_Toc185602055"/>
      <w:bookmarkStart w:id="18" w:name="_Toc185602089"/>
      <w:r w:rsidRPr="001F3556">
        <w:rPr>
          <w:rFonts w:ascii="Arial" w:eastAsia="等线" w:hAnsi="Arial"/>
          <w:sz w:val="28"/>
          <w:lang w:eastAsia="zh-CN"/>
        </w:rPr>
        <w:t>5</w:t>
      </w:r>
      <w:r w:rsidRPr="001F3556">
        <w:rPr>
          <w:rFonts w:ascii="Arial" w:eastAsia="等线" w:hAnsi="Arial"/>
          <w:sz w:val="28"/>
          <w:lang w:eastAsia="en-GB"/>
        </w:rPr>
        <w:t>.2.1</w:t>
      </w:r>
      <w:r w:rsidRPr="001F3556">
        <w:rPr>
          <w:rFonts w:ascii="Arial" w:eastAsia="等线" w:hAnsi="Arial"/>
          <w:sz w:val="28"/>
          <w:lang w:eastAsia="en-GB"/>
        </w:rPr>
        <w:tab/>
        <w:t xml:space="preserve">Non-roaming </w:t>
      </w:r>
      <w:r w:rsidRPr="001F3556">
        <w:rPr>
          <w:rFonts w:ascii="Arial" w:eastAsia="等线" w:hAnsi="Arial"/>
          <w:sz w:val="28"/>
          <w:lang w:eastAsia="zh-CN"/>
        </w:rPr>
        <w:t>architecture</w:t>
      </w:r>
      <w:bookmarkEnd w:id="10"/>
      <w:bookmarkEnd w:id="11"/>
      <w:bookmarkEnd w:id="12"/>
      <w:bookmarkEnd w:id="13"/>
      <w:bookmarkEnd w:id="14"/>
      <w:bookmarkEnd w:id="15"/>
      <w:bookmarkEnd w:id="16"/>
      <w:bookmarkEnd w:id="17"/>
    </w:p>
    <w:p w14:paraId="5B23604A" w14:textId="72A499D5" w:rsidR="001F3556" w:rsidRPr="001F3556" w:rsidRDefault="001F3556" w:rsidP="001F3556">
      <w:pPr>
        <w:overflowPunct w:val="0"/>
        <w:autoSpaceDE w:val="0"/>
        <w:autoSpaceDN w:val="0"/>
        <w:adjustRightInd w:val="0"/>
        <w:textAlignment w:val="baseline"/>
        <w:rPr>
          <w:rFonts w:eastAsia="等线"/>
          <w:lang w:eastAsia="en-GB"/>
        </w:rPr>
      </w:pPr>
      <w:r w:rsidRPr="001F3556">
        <w:rPr>
          <w:rFonts w:eastAsia="等线"/>
          <w:lang w:eastAsia="en-GB"/>
        </w:rPr>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 the Application Function (AF)</w:t>
      </w:r>
      <w:ins w:id="19" w:author="vivo5" w:date="2025-02-06T15:24:00Z">
        <w:r w:rsidR="00FF3DB1">
          <w:rPr>
            <w:rFonts w:eastAsia="等线"/>
            <w:lang w:eastAsia="en-GB"/>
          </w:rPr>
          <w:t>,</w:t>
        </w:r>
        <w:r w:rsidR="00FF3DB1" w:rsidRPr="00FF3DB1">
          <w:t xml:space="preserve"> </w:t>
        </w:r>
        <w:r w:rsidR="00FF3DB1" w:rsidRPr="00FF3DB1">
          <w:rPr>
            <w:rFonts w:eastAsia="等线"/>
            <w:lang w:eastAsia="en-GB"/>
          </w:rPr>
          <w:t>Energy Information Function (EIF)</w:t>
        </w:r>
      </w:ins>
      <w:r w:rsidRPr="001F3556">
        <w:rPr>
          <w:rFonts w:eastAsia="等线"/>
          <w:lang w:eastAsia="en-GB"/>
        </w:rPr>
        <w:t xml:space="preserve"> and UDR (Unified Data Repository).</w:t>
      </w:r>
    </w:p>
    <w:p w14:paraId="7731DB22" w14:textId="77777777" w:rsidR="001F3556" w:rsidRPr="001F3556" w:rsidRDefault="001F3556" w:rsidP="001F3556">
      <w:pPr>
        <w:overflowPunct w:val="0"/>
        <w:autoSpaceDE w:val="0"/>
        <w:autoSpaceDN w:val="0"/>
        <w:adjustRightInd w:val="0"/>
        <w:textAlignment w:val="baseline"/>
        <w:rPr>
          <w:rFonts w:eastAsia="等线"/>
          <w:lang w:eastAsia="en-GB"/>
        </w:rPr>
      </w:pPr>
      <w:r w:rsidRPr="001F3556">
        <w:rPr>
          <w:rFonts w:eastAsia="等线"/>
          <w:lang w:eastAsia="en-GB"/>
        </w:rPr>
        <w:t xml:space="preserve">Figure 5.2.1-1 shows the </w:t>
      </w:r>
      <w:proofErr w:type="gramStart"/>
      <w:r w:rsidRPr="001F3556">
        <w:rPr>
          <w:rFonts w:eastAsia="等线"/>
          <w:lang w:eastAsia="en-GB"/>
        </w:rPr>
        <w:t>service based</w:t>
      </w:r>
      <w:proofErr w:type="gramEnd"/>
      <w:r w:rsidRPr="001F3556">
        <w:rPr>
          <w:rFonts w:eastAsia="等线"/>
          <w:lang w:eastAsia="en-GB"/>
        </w:rPr>
        <w:t xml:space="preserve"> representation and Figure 5.2.1-1a shows the reference point representation of the reference architecture of policy and charging control framework for the 5G System.</w:t>
      </w:r>
    </w:p>
    <w:p w14:paraId="4EB0A8E7" w14:textId="68E3BC96" w:rsidR="001F3556" w:rsidRDefault="002A315A" w:rsidP="001F3556">
      <w:pPr>
        <w:keepNext/>
        <w:keepLines/>
        <w:overflowPunct w:val="0"/>
        <w:autoSpaceDE w:val="0"/>
        <w:autoSpaceDN w:val="0"/>
        <w:adjustRightInd w:val="0"/>
        <w:spacing w:before="60"/>
        <w:jc w:val="center"/>
        <w:textAlignment w:val="baseline"/>
        <w:rPr>
          <w:rFonts w:ascii="Arial" w:eastAsia="等线" w:hAnsi="Arial"/>
          <w:b/>
          <w:lang w:eastAsia="en-GB"/>
        </w:rPr>
      </w:pPr>
      <w:del w:id="20" w:author="vivo5" w:date="2025-02-06T14:53:00Z">
        <w:r>
          <w:rPr>
            <w:rFonts w:ascii="Arial" w:eastAsia="等线" w:hAnsi="Arial"/>
            <w:b/>
            <w:lang w:eastAsia="en-GB"/>
          </w:rPr>
          <w:pict w14:anchorId="664CA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99.3pt">
              <v:imagedata r:id="rId17" o:title=""/>
            </v:shape>
          </w:pict>
        </w:r>
      </w:del>
    </w:p>
    <w:bookmarkStart w:id="21" w:name="_MON_1800359207"/>
    <w:bookmarkEnd w:id="21"/>
    <w:p w14:paraId="524394AC" w14:textId="7EBB951A" w:rsidR="001F3556" w:rsidRPr="001F3556" w:rsidRDefault="000E44BB" w:rsidP="001F3556">
      <w:pPr>
        <w:keepNext/>
        <w:keepLines/>
        <w:overflowPunct w:val="0"/>
        <w:autoSpaceDE w:val="0"/>
        <w:autoSpaceDN w:val="0"/>
        <w:adjustRightInd w:val="0"/>
        <w:spacing w:before="60"/>
        <w:jc w:val="center"/>
        <w:textAlignment w:val="baseline"/>
        <w:rPr>
          <w:rFonts w:ascii="Arial" w:eastAsia="等线" w:hAnsi="Arial"/>
          <w:b/>
          <w:lang w:eastAsia="en-GB"/>
        </w:rPr>
      </w:pPr>
      <w:ins w:id="22" w:author="vivo5" w:date="2025-02-06T14:57:00Z">
        <w:r w:rsidRPr="003D4ABF">
          <w:object w:dxaOrig="11095" w:dyaOrig="4600" w14:anchorId="3AC6FBED">
            <v:shape id="_x0000_i1026" type="#_x0000_t75" style="width:478.65pt;height:199.3pt" o:ole="">
              <v:imagedata r:id="rId18" o:title=""/>
            </v:shape>
            <o:OLEObject Type="Embed" ProgID="Word.Picture.8" ShapeID="_x0000_i1026" DrawAspect="Content" ObjectID="_1800719328" r:id="rId19"/>
          </w:object>
        </w:r>
      </w:ins>
    </w:p>
    <w:p w14:paraId="6A4C8201" w14:textId="77777777" w:rsidR="001F3556" w:rsidRPr="001F3556" w:rsidRDefault="001F3556" w:rsidP="001F3556">
      <w:pPr>
        <w:keepLines/>
        <w:overflowPunct w:val="0"/>
        <w:autoSpaceDE w:val="0"/>
        <w:autoSpaceDN w:val="0"/>
        <w:adjustRightInd w:val="0"/>
        <w:spacing w:after="240"/>
        <w:jc w:val="center"/>
        <w:textAlignment w:val="baseline"/>
        <w:rPr>
          <w:rFonts w:ascii="Arial" w:eastAsia="等线" w:hAnsi="Arial"/>
          <w:b/>
          <w:lang w:eastAsia="en-GB"/>
        </w:rPr>
      </w:pPr>
      <w:bookmarkStart w:id="23" w:name="_CRFigure5_2_11"/>
      <w:r w:rsidRPr="001F3556">
        <w:rPr>
          <w:rFonts w:ascii="Arial" w:eastAsia="等线" w:hAnsi="Arial"/>
          <w:b/>
          <w:lang w:eastAsia="en-GB"/>
        </w:rPr>
        <w:t xml:space="preserve">Figure </w:t>
      </w:r>
      <w:bookmarkEnd w:id="23"/>
      <w:r w:rsidRPr="001F3556">
        <w:rPr>
          <w:rFonts w:ascii="Arial" w:eastAsia="等线" w:hAnsi="Arial"/>
          <w:b/>
          <w:lang w:eastAsia="en-GB"/>
        </w:rPr>
        <w:t>5.2.1-1: Overall non-roaming reference architecture of policy and charging control framework for the 5G System (</w:t>
      </w:r>
      <w:proofErr w:type="gramStart"/>
      <w:r w:rsidRPr="001F3556">
        <w:rPr>
          <w:rFonts w:ascii="Arial" w:eastAsia="等线" w:hAnsi="Arial"/>
          <w:b/>
          <w:lang w:eastAsia="en-GB"/>
        </w:rPr>
        <w:t>service based</w:t>
      </w:r>
      <w:proofErr w:type="gramEnd"/>
      <w:r w:rsidRPr="001F3556">
        <w:rPr>
          <w:rFonts w:ascii="Arial" w:eastAsia="等线" w:hAnsi="Arial"/>
          <w:b/>
          <w:lang w:eastAsia="en-GB"/>
        </w:rPr>
        <w:t xml:space="preserve"> representation)</w:t>
      </w:r>
    </w:p>
    <w:p w14:paraId="14244346" w14:textId="3A0E7D1D" w:rsidR="001F3556" w:rsidRPr="001F3556" w:rsidRDefault="002A315A" w:rsidP="001F3556">
      <w:pPr>
        <w:keepNext/>
        <w:keepLines/>
        <w:overflowPunct w:val="0"/>
        <w:autoSpaceDE w:val="0"/>
        <w:autoSpaceDN w:val="0"/>
        <w:adjustRightInd w:val="0"/>
        <w:spacing w:before="60"/>
        <w:jc w:val="center"/>
        <w:textAlignment w:val="baseline"/>
        <w:rPr>
          <w:rFonts w:ascii="Arial" w:eastAsia="等线" w:hAnsi="Arial"/>
          <w:b/>
          <w:lang w:eastAsia="en-GB"/>
        </w:rPr>
      </w:pPr>
      <w:del w:id="24" w:author="vivo5" w:date="2025-02-06T15:03:00Z">
        <w:r>
          <w:rPr>
            <w:rFonts w:ascii="Arial" w:eastAsia="等线" w:hAnsi="Arial"/>
            <w:b/>
            <w:lang w:eastAsia="en-GB"/>
          </w:rPr>
          <w:lastRenderedPageBreak/>
          <w:pict w14:anchorId="53DD367A">
            <v:shape id="_x0000_i1027" type="#_x0000_t75" style="width:368.05pt;height:230.4pt">
              <v:imagedata r:id="rId20" o:title=""/>
            </v:shape>
          </w:pict>
        </w:r>
      </w:del>
      <w:bookmarkStart w:id="25" w:name="_MON_1600547904"/>
      <w:bookmarkEnd w:id="25"/>
      <w:ins w:id="26" w:author="vivo5" w:date="2025-02-06T15:03:00Z">
        <w:r w:rsidR="000E44BB" w:rsidRPr="003D4ABF">
          <w:object w:dxaOrig="8835" w:dyaOrig="5531" w14:anchorId="73590B2C">
            <v:shape id="_x0000_i1028" type="#_x0000_t75" style="width:368.05pt;height:230.4pt" o:ole="">
              <v:imagedata r:id="rId21" o:title=""/>
            </v:shape>
            <o:OLEObject Type="Embed" ProgID="Word.Picture.8" ShapeID="_x0000_i1028" DrawAspect="Content" ObjectID="_1800719329" r:id="rId22"/>
          </w:object>
        </w:r>
      </w:ins>
    </w:p>
    <w:p w14:paraId="4E357EEA" w14:textId="77777777" w:rsidR="001F3556" w:rsidRPr="001F3556" w:rsidRDefault="001F3556" w:rsidP="001F3556">
      <w:pPr>
        <w:keepLines/>
        <w:overflowPunct w:val="0"/>
        <w:autoSpaceDE w:val="0"/>
        <w:autoSpaceDN w:val="0"/>
        <w:adjustRightInd w:val="0"/>
        <w:spacing w:after="240"/>
        <w:jc w:val="center"/>
        <w:textAlignment w:val="baseline"/>
        <w:rPr>
          <w:rFonts w:ascii="Arial" w:eastAsia="等线" w:hAnsi="Arial"/>
          <w:b/>
          <w:lang w:eastAsia="en-GB"/>
        </w:rPr>
      </w:pPr>
      <w:bookmarkStart w:id="27" w:name="_CRFigure5_2_11a"/>
      <w:r w:rsidRPr="001F3556">
        <w:rPr>
          <w:rFonts w:ascii="Arial" w:eastAsia="等线" w:hAnsi="Arial"/>
          <w:b/>
          <w:lang w:eastAsia="en-GB"/>
        </w:rPr>
        <w:t xml:space="preserve">Figure </w:t>
      </w:r>
      <w:bookmarkEnd w:id="27"/>
      <w:r w:rsidRPr="001F3556">
        <w:rPr>
          <w:rFonts w:ascii="Arial" w:eastAsia="等线" w:hAnsi="Arial"/>
          <w:b/>
          <w:lang w:eastAsia="en-GB"/>
        </w:rPr>
        <w:t>5.2.1-1a: Overall non-roaming reference architecture of policy and charging control framework for the 5G System</w:t>
      </w:r>
      <w:r w:rsidRPr="001F3556" w:rsidDel="008A42A4">
        <w:rPr>
          <w:rFonts w:ascii="Arial" w:eastAsia="等线" w:hAnsi="Arial"/>
          <w:b/>
          <w:lang w:eastAsia="en-GB"/>
        </w:rPr>
        <w:t xml:space="preserve"> </w:t>
      </w:r>
      <w:r w:rsidRPr="001F3556">
        <w:rPr>
          <w:rFonts w:ascii="Arial" w:eastAsia="等线" w:hAnsi="Arial"/>
          <w:b/>
          <w:lang w:eastAsia="en-GB"/>
        </w:rPr>
        <w:t>(reference point representation)</w:t>
      </w:r>
    </w:p>
    <w:p w14:paraId="7552B078" w14:textId="77777777" w:rsidR="001F3556" w:rsidRPr="001F3556" w:rsidRDefault="001F3556" w:rsidP="001F3556">
      <w:pPr>
        <w:keepLines/>
        <w:overflowPunct w:val="0"/>
        <w:autoSpaceDE w:val="0"/>
        <w:autoSpaceDN w:val="0"/>
        <w:adjustRightInd w:val="0"/>
        <w:ind w:left="1135" w:hanging="851"/>
        <w:textAlignment w:val="baseline"/>
        <w:rPr>
          <w:rFonts w:eastAsia="等线"/>
          <w:lang w:eastAsia="en-GB"/>
        </w:rPr>
      </w:pPr>
      <w:r w:rsidRPr="001F3556">
        <w:rPr>
          <w:rFonts w:eastAsia="等线"/>
          <w:lang w:eastAsia="en-GB"/>
        </w:rPr>
        <w:t>NOTE 1:</w:t>
      </w:r>
      <w:r w:rsidRPr="001F3556">
        <w:rPr>
          <w:rFonts w:eastAsia="等线"/>
          <w:lang w:eastAsia="en-GB"/>
        </w:rPr>
        <w:tab/>
        <w:t>The N4 reference point is not part of the 5G Policy Framework architecture but shown in the figures for completeness. See TS 23.501 [2] for N4 reference point definition.</w:t>
      </w:r>
    </w:p>
    <w:p w14:paraId="0048E728" w14:textId="77777777" w:rsidR="001F3556" w:rsidRPr="001F3556" w:rsidRDefault="001F3556" w:rsidP="001F3556">
      <w:pPr>
        <w:keepLines/>
        <w:overflowPunct w:val="0"/>
        <w:autoSpaceDE w:val="0"/>
        <w:autoSpaceDN w:val="0"/>
        <w:adjustRightInd w:val="0"/>
        <w:ind w:left="1135" w:hanging="851"/>
        <w:textAlignment w:val="baseline"/>
        <w:rPr>
          <w:rFonts w:eastAsia="等线"/>
          <w:lang w:eastAsia="en-GB"/>
        </w:rPr>
      </w:pPr>
      <w:r w:rsidRPr="001F3556">
        <w:rPr>
          <w:rFonts w:eastAsia="等线"/>
          <w:lang w:eastAsia="en-GB"/>
        </w:rPr>
        <w:t>NOTE 2:</w:t>
      </w:r>
      <w:r w:rsidRPr="001F3556">
        <w:rPr>
          <w:rFonts w:eastAsia="等线"/>
          <w:lang w:eastAsia="en-GB"/>
        </w:rPr>
        <w:tab/>
        <w:t>How the PCF/NEF stores/retrieves information related with policy subscription data or with application data is defined in TS 23.501 [2].</w:t>
      </w:r>
    </w:p>
    <w:p w14:paraId="07D88AE1" w14:textId="77777777" w:rsidR="001F3556" w:rsidRPr="001F3556" w:rsidRDefault="001F3556" w:rsidP="001F3556">
      <w:pPr>
        <w:keepLines/>
        <w:overflowPunct w:val="0"/>
        <w:autoSpaceDE w:val="0"/>
        <w:autoSpaceDN w:val="0"/>
        <w:adjustRightInd w:val="0"/>
        <w:ind w:left="1135" w:hanging="851"/>
        <w:textAlignment w:val="baseline"/>
        <w:rPr>
          <w:rFonts w:eastAsia="等线"/>
          <w:lang w:eastAsia="zh-CN"/>
        </w:rPr>
      </w:pPr>
      <w:r w:rsidRPr="001F3556">
        <w:rPr>
          <w:rFonts w:eastAsia="等线"/>
          <w:lang w:eastAsia="zh-CN"/>
        </w:rPr>
        <w:t>NOTE 3:</w:t>
      </w:r>
      <w:r w:rsidRPr="001F3556">
        <w:rPr>
          <w:rFonts w:eastAsia="等线"/>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1F3556">
        <w:rPr>
          <w:rFonts w:eastAsia="等线"/>
          <w:lang w:eastAsia="zh-CN"/>
        </w:rPr>
        <w:t>ProSe</w:t>
      </w:r>
      <w:proofErr w:type="spellEnd"/>
      <w:r w:rsidRPr="001F3556">
        <w:rPr>
          <w:rFonts w:eastAsia="等线"/>
          <w:lang w:eastAsia="zh-CN"/>
        </w:rPr>
        <w:t xml:space="preserve"> architecture depicted in TS 23.304 [34].</w:t>
      </w:r>
    </w:p>
    <w:p w14:paraId="195486B3" w14:textId="77777777" w:rsidR="001F3556" w:rsidRPr="001F3556" w:rsidRDefault="001F3556" w:rsidP="001F3556">
      <w:pPr>
        <w:keepLines/>
        <w:overflowPunct w:val="0"/>
        <w:autoSpaceDE w:val="0"/>
        <w:autoSpaceDN w:val="0"/>
        <w:adjustRightInd w:val="0"/>
        <w:ind w:left="1135" w:hanging="851"/>
        <w:textAlignment w:val="baseline"/>
        <w:rPr>
          <w:rFonts w:eastAsia="等线"/>
          <w:lang w:eastAsia="zh-CN"/>
        </w:rPr>
      </w:pPr>
      <w:r w:rsidRPr="001F3556">
        <w:rPr>
          <w:rFonts w:eastAsia="等线"/>
          <w:lang w:eastAsia="zh-CN"/>
        </w:rPr>
        <w:t>NOTE 4:</w:t>
      </w:r>
      <w:r w:rsidRPr="001F3556">
        <w:rPr>
          <w:rFonts w:eastAsia="等线"/>
          <w:lang w:eastAsia="zh-CN"/>
        </w:rPr>
        <w:tab/>
        <w:t>For clarity, the DCCF and its connections with PCF are not depicted in the point-to-point and service-based architecture diagrams. For more information on network data analytics architecture using DCCF refer to TS 23.288 [24].</w:t>
      </w:r>
    </w:p>
    <w:p w14:paraId="5AC04247" w14:textId="77777777" w:rsidR="001F3556" w:rsidRPr="001F3556" w:rsidRDefault="001F3556" w:rsidP="001F3556">
      <w:pPr>
        <w:overflowPunct w:val="0"/>
        <w:autoSpaceDE w:val="0"/>
        <w:autoSpaceDN w:val="0"/>
        <w:adjustRightInd w:val="0"/>
        <w:textAlignment w:val="baseline"/>
        <w:rPr>
          <w:rFonts w:eastAsia="等线"/>
          <w:lang w:eastAsia="zh-CN"/>
        </w:rPr>
      </w:pPr>
      <w:r w:rsidRPr="001F3556">
        <w:rPr>
          <w:rFonts w:eastAsia="等线"/>
          <w:lang w:eastAsia="zh-CN"/>
        </w:rPr>
        <w:t xml:space="preserve">The </w:t>
      </w:r>
      <w:proofErr w:type="spellStart"/>
      <w:r w:rsidRPr="001F3556">
        <w:rPr>
          <w:rFonts w:eastAsia="等线"/>
          <w:lang w:eastAsia="zh-CN"/>
        </w:rPr>
        <w:t>Nchf</w:t>
      </w:r>
      <w:proofErr w:type="spellEnd"/>
      <w:r w:rsidRPr="001F3556">
        <w:rPr>
          <w:rFonts w:eastAsia="等线"/>
          <w:lang w:eastAsia="zh-CN"/>
        </w:rPr>
        <w:t xml:space="preserve"> service for online and offline charging consumed by the SMF is defined in TS 32.240 [8].</w:t>
      </w:r>
    </w:p>
    <w:p w14:paraId="1CBB96C4" w14:textId="77777777" w:rsidR="001F3556" w:rsidRPr="001F3556" w:rsidRDefault="001F3556" w:rsidP="001F3556">
      <w:pPr>
        <w:overflowPunct w:val="0"/>
        <w:autoSpaceDE w:val="0"/>
        <w:autoSpaceDN w:val="0"/>
        <w:adjustRightInd w:val="0"/>
        <w:textAlignment w:val="baseline"/>
        <w:rPr>
          <w:rFonts w:eastAsia="等线"/>
          <w:lang w:eastAsia="zh-CN"/>
        </w:rPr>
      </w:pPr>
      <w:r w:rsidRPr="001F3556">
        <w:rPr>
          <w:rFonts w:eastAsia="等线"/>
          <w:lang w:eastAsia="zh-CN"/>
        </w:rPr>
        <w:t xml:space="preserve">The </w:t>
      </w:r>
      <w:proofErr w:type="spellStart"/>
      <w:r w:rsidRPr="001F3556">
        <w:rPr>
          <w:rFonts w:eastAsia="等线"/>
          <w:lang w:eastAsia="zh-CN"/>
        </w:rPr>
        <w:t>Nchf</w:t>
      </w:r>
      <w:proofErr w:type="spellEnd"/>
      <w:r w:rsidRPr="001F3556">
        <w:rPr>
          <w:rFonts w:eastAsia="等线"/>
          <w:lang w:eastAsia="zh-CN"/>
        </w:rPr>
        <w:t xml:space="preserve"> service for Spending Limit Control consumed by the PCF is defined in TS 23.502 [3].</w:t>
      </w:r>
    </w:p>
    <w:p w14:paraId="6393ADD3" w14:textId="761FB01F" w:rsidR="001F3556" w:rsidRDefault="001F3556" w:rsidP="001F3556">
      <w:pPr>
        <w:overflowPunct w:val="0"/>
        <w:autoSpaceDE w:val="0"/>
        <w:autoSpaceDN w:val="0"/>
        <w:adjustRightInd w:val="0"/>
        <w:textAlignment w:val="baseline"/>
        <w:rPr>
          <w:rFonts w:eastAsia="等线"/>
          <w:lang w:eastAsia="zh-CN"/>
        </w:rPr>
      </w:pPr>
      <w:bookmarkStart w:id="28" w:name="_Toc19197300"/>
      <w:bookmarkStart w:id="29" w:name="_Toc27896453"/>
      <w:bookmarkStart w:id="30" w:name="_Toc36192621"/>
      <w:bookmarkStart w:id="31" w:name="_Toc37076352"/>
      <w:bookmarkStart w:id="32" w:name="_Toc45194798"/>
      <w:bookmarkStart w:id="33" w:name="_Toc47594210"/>
      <w:bookmarkStart w:id="34" w:name="_Toc51836841"/>
      <w:r w:rsidRPr="001F3556">
        <w:rPr>
          <w:rFonts w:eastAsia="等线"/>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the UE and the PCF for the PDU Session.</w:t>
      </w:r>
    </w:p>
    <w:p w14:paraId="5CD521C6" w14:textId="23AD7022" w:rsidR="00B81FF7" w:rsidRPr="00E219EA" w:rsidRDefault="00B81FF7" w:rsidP="00B81F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38B484AE" w14:textId="77777777" w:rsidR="00B81FF7" w:rsidRPr="001F3556" w:rsidRDefault="00B81FF7" w:rsidP="001F3556">
      <w:pPr>
        <w:overflowPunct w:val="0"/>
        <w:autoSpaceDE w:val="0"/>
        <w:autoSpaceDN w:val="0"/>
        <w:adjustRightInd w:val="0"/>
        <w:textAlignment w:val="baseline"/>
        <w:rPr>
          <w:rFonts w:eastAsia="等线"/>
          <w:lang w:eastAsia="zh-CN"/>
        </w:rPr>
      </w:pPr>
    </w:p>
    <w:p w14:paraId="335C555D" w14:textId="77777777" w:rsidR="000E44BB" w:rsidRPr="003D4ABF" w:rsidRDefault="000E44BB" w:rsidP="000E44BB">
      <w:pPr>
        <w:pStyle w:val="30"/>
        <w:rPr>
          <w:lang w:eastAsia="zh-CN"/>
        </w:rPr>
      </w:pPr>
      <w:bookmarkStart w:id="35" w:name="_CR5_2_2"/>
      <w:bookmarkStart w:id="36" w:name="_Toc185602056"/>
      <w:bookmarkEnd w:id="28"/>
      <w:bookmarkEnd w:id="29"/>
      <w:bookmarkEnd w:id="30"/>
      <w:bookmarkEnd w:id="31"/>
      <w:bookmarkEnd w:id="32"/>
      <w:bookmarkEnd w:id="33"/>
      <w:bookmarkEnd w:id="34"/>
      <w:bookmarkEnd w:id="35"/>
      <w:r w:rsidRPr="003D4ABF">
        <w:rPr>
          <w:lang w:eastAsia="zh-CN"/>
        </w:rPr>
        <w:t>5</w:t>
      </w:r>
      <w:r w:rsidRPr="003D4ABF">
        <w:t>.2.2</w:t>
      </w:r>
      <w:r w:rsidRPr="003D4ABF">
        <w:tab/>
        <w:t xml:space="preserve">Roaming </w:t>
      </w:r>
      <w:r w:rsidRPr="003D4ABF">
        <w:rPr>
          <w:lang w:eastAsia="zh-CN"/>
        </w:rPr>
        <w:t>architecture</w:t>
      </w:r>
      <w:bookmarkEnd w:id="36"/>
    </w:p>
    <w:p w14:paraId="78439976" w14:textId="77777777" w:rsidR="000E44BB" w:rsidRPr="003D4ABF" w:rsidRDefault="000E44BB" w:rsidP="000E44BB">
      <w:pPr>
        <w:rPr>
          <w:rFonts w:eastAsia="等线"/>
        </w:rPr>
      </w:pPr>
      <w:r w:rsidRPr="003D4ABF">
        <w:rPr>
          <w:rFonts w:eastAsia="等线"/>
        </w:rPr>
        <w:t>Figure 5.2.2-1 shows the local breakout roaming</w:t>
      </w:r>
      <w:r>
        <w:rPr>
          <w:rFonts w:eastAsia="等线"/>
        </w:rPr>
        <w:t xml:space="preserve"> architecture of the</w:t>
      </w:r>
      <w:r w:rsidRPr="003D4ABF">
        <w:rPr>
          <w:rFonts w:eastAsia="等线"/>
        </w:rPr>
        <w:t xml:space="preserve"> policy</w:t>
      </w:r>
      <w:r>
        <w:rPr>
          <w:rFonts w:eastAsia="等线"/>
        </w:rPr>
        <w:t xml:space="preserve"> and charging control</w:t>
      </w:r>
      <w:r w:rsidRPr="003D4ABF">
        <w:rPr>
          <w:rFonts w:eastAsia="等线"/>
        </w:rPr>
        <w:t xml:space="preserve"> framework</w:t>
      </w:r>
      <w:r>
        <w:rPr>
          <w:rFonts w:eastAsia="等线"/>
        </w:rPr>
        <w:t xml:space="preserve"> for the 5G System</w:t>
      </w:r>
      <w:r w:rsidRPr="003D4ABF">
        <w:rPr>
          <w:rFonts w:eastAsia="等线"/>
        </w:rPr>
        <w:t>:</w:t>
      </w:r>
    </w:p>
    <w:bookmarkStart w:id="37" w:name="_CRFigure5_2_21"/>
    <w:p w14:paraId="54634B69" w14:textId="77777777" w:rsidR="000E44BB" w:rsidRDefault="000E44BB" w:rsidP="000E44BB">
      <w:pPr>
        <w:pStyle w:val="TH"/>
        <w:rPr>
          <w:rFonts w:eastAsia="等线"/>
        </w:rPr>
      </w:pPr>
      <w:r w:rsidRPr="003D4ABF">
        <w:object w:dxaOrig="9356" w:dyaOrig="3825" w14:anchorId="468CC790">
          <v:shape id="_x0000_i1029" type="#_x0000_t75" style="width:479.25pt;height:195.85pt" o:ole="">
            <v:imagedata r:id="rId23" o:title=""/>
          </v:shape>
          <o:OLEObject Type="Embed" ProgID="Word.Picture.8" ShapeID="_x0000_i1029" DrawAspect="Content" ObjectID="_1800719330" r:id="rId24"/>
        </w:object>
      </w:r>
    </w:p>
    <w:p w14:paraId="0050EB9E" w14:textId="77777777" w:rsidR="000E44BB" w:rsidRPr="003D4ABF" w:rsidRDefault="000E44BB" w:rsidP="000E44BB">
      <w:pPr>
        <w:pStyle w:val="TF"/>
        <w:rPr>
          <w:rFonts w:eastAsia="等线"/>
        </w:rPr>
      </w:pPr>
      <w:r w:rsidRPr="003D4ABF">
        <w:rPr>
          <w:rFonts w:eastAsia="等线"/>
        </w:rPr>
        <w:t xml:space="preserve">Figure </w:t>
      </w:r>
      <w:bookmarkEnd w:id="37"/>
      <w:r w:rsidRPr="003D4ABF">
        <w:rPr>
          <w:rFonts w:eastAsia="等线"/>
        </w:rPr>
        <w:t>5.2.2-1: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w:t>
      </w:r>
    </w:p>
    <w:bookmarkStart w:id="38" w:name="_MON_1600547967"/>
    <w:bookmarkEnd w:id="38"/>
    <w:p w14:paraId="3B6BB22A" w14:textId="77777777" w:rsidR="000E44BB" w:rsidRPr="003D4ABF" w:rsidRDefault="000E44BB" w:rsidP="000E44BB">
      <w:pPr>
        <w:pStyle w:val="TH"/>
        <w:rPr>
          <w:rFonts w:eastAsia="等线"/>
        </w:rPr>
      </w:pPr>
      <w:r w:rsidRPr="003D4ABF">
        <w:object w:dxaOrig="9205" w:dyaOrig="6165" w14:anchorId="21D0A8E5">
          <v:shape id="_x0000_i1030" type="#_x0000_t75" style="width:366.9pt;height:245.95pt" o:ole="">
            <v:imagedata r:id="rId25" o:title=""/>
          </v:shape>
          <o:OLEObject Type="Embed" ProgID="Word.Picture.8" ShapeID="_x0000_i1030" DrawAspect="Content" ObjectID="_1800719331" r:id="rId26"/>
        </w:object>
      </w:r>
    </w:p>
    <w:p w14:paraId="2D9EBDB7" w14:textId="77777777" w:rsidR="000E44BB" w:rsidRPr="003D4ABF" w:rsidRDefault="000E44BB" w:rsidP="000E44BB">
      <w:pPr>
        <w:pStyle w:val="TF"/>
        <w:rPr>
          <w:rFonts w:eastAsia="等线"/>
        </w:rPr>
      </w:pPr>
      <w:bookmarkStart w:id="39" w:name="_CRFigure5_2_21a"/>
      <w:r w:rsidRPr="003D4ABF">
        <w:rPr>
          <w:rFonts w:eastAsia="等线"/>
        </w:rPr>
        <w:t xml:space="preserve">Figure </w:t>
      </w:r>
      <w:bookmarkEnd w:id="39"/>
      <w:r w:rsidRPr="003D4ABF">
        <w:rPr>
          <w:rFonts w:eastAsia="等线"/>
        </w:rPr>
        <w:t>5.2.2-1a: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 (reference point representation)</w:t>
      </w:r>
    </w:p>
    <w:p w14:paraId="3DE0F025" w14:textId="77777777" w:rsidR="000E44BB" w:rsidRPr="003D4ABF" w:rsidRDefault="000E44BB" w:rsidP="000E44BB">
      <w:pPr>
        <w:pStyle w:val="NO"/>
        <w:rPr>
          <w:rFonts w:eastAsia="等线"/>
        </w:rPr>
      </w:pPr>
      <w:r w:rsidRPr="00E20298">
        <w:rPr>
          <w:rFonts w:eastAsia="等线"/>
        </w:rPr>
        <w:lastRenderedPageBreak/>
        <w:t>NOTE 1:</w:t>
      </w:r>
      <w:r w:rsidRPr="00E20298">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79698D09" w14:textId="77777777" w:rsidR="000E44BB" w:rsidRPr="003D4ABF" w:rsidRDefault="000E44BB" w:rsidP="000E44BB">
      <w:pPr>
        <w:pStyle w:val="NO"/>
        <w:rPr>
          <w:rFonts w:eastAsia="等线"/>
        </w:rPr>
      </w:pPr>
      <w:r w:rsidRPr="00E20298">
        <w:rPr>
          <w:rFonts w:eastAsia="等线"/>
        </w:rPr>
        <w:t>NOTE 2:</w:t>
      </w:r>
      <w:r w:rsidRPr="00E20298">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61548B0D" w14:textId="77777777" w:rsidR="000E44BB" w:rsidRPr="003D4ABF" w:rsidRDefault="000E44BB" w:rsidP="000E44BB">
      <w:pPr>
        <w:pStyle w:val="NO"/>
        <w:rPr>
          <w:rFonts w:eastAsia="等线"/>
        </w:rPr>
      </w:pPr>
      <w:r w:rsidRPr="003D4ABF">
        <w:rPr>
          <w:rFonts w:eastAsia="等线"/>
        </w:rPr>
        <w:t>NOTE 3:</w:t>
      </w:r>
      <w:r w:rsidRPr="003D4ABF">
        <w:rPr>
          <w:rFonts w:eastAsia="等线"/>
        </w:rPr>
        <w:tab/>
        <w:t>In the LBO architecture, AF requests providing routing information for roamers targeting a DNN and S-NSSAI (targeting all roamers) or an External-Group-Identifier (identifying a group of roamers) are stored as Application Data in the UDR</w:t>
      </w:r>
      <w:r>
        <w:rPr>
          <w:rFonts w:eastAsia="等线"/>
        </w:rPr>
        <w:t xml:space="preserve"> </w:t>
      </w:r>
      <w:r w:rsidRPr="003D4ABF">
        <w:rPr>
          <w:rFonts w:eastAsia="等线"/>
        </w:rPr>
        <w:t>(in the VPLMN) by the NEF (in the VPLMN).</w:t>
      </w:r>
    </w:p>
    <w:p w14:paraId="03676A70" w14:textId="77777777" w:rsidR="000E44BB" w:rsidRPr="003D4ABF" w:rsidRDefault="000E44BB" w:rsidP="000E44BB">
      <w:pPr>
        <w:pStyle w:val="NO"/>
        <w:rPr>
          <w:rFonts w:eastAsia="等线"/>
        </w:rPr>
      </w:pPr>
      <w:r w:rsidRPr="003D4ABF">
        <w:rPr>
          <w:rFonts w:eastAsia="等线"/>
        </w:rPr>
        <w:t>NOTE </w:t>
      </w:r>
      <w:r>
        <w:rPr>
          <w:rFonts w:eastAsia="等线"/>
        </w:rPr>
        <w:t>4</w:t>
      </w:r>
      <w:r w:rsidRPr="003D4ABF">
        <w:rPr>
          <w:rFonts w:eastAsia="等线"/>
        </w:rPr>
        <w:t>:</w:t>
      </w:r>
      <w:r w:rsidRPr="003D4ABF">
        <w:rPr>
          <w:rFonts w:eastAsia="等线"/>
        </w:rPr>
        <w:tab/>
      </w:r>
      <w:r>
        <w:rPr>
          <w:rFonts w:eastAsia="等线"/>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316AEFB4" w14:textId="77777777" w:rsidR="000E44BB" w:rsidRPr="003D4ABF" w:rsidRDefault="000E44BB" w:rsidP="000E44BB">
      <w:pPr>
        <w:pStyle w:val="NO"/>
        <w:rPr>
          <w:rFonts w:eastAsia="等线"/>
        </w:rPr>
      </w:pPr>
      <w:r w:rsidRPr="003D4ABF">
        <w:rPr>
          <w:rFonts w:eastAsia="等线"/>
        </w:rPr>
        <w:t>NOTE </w:t>
      </w:r>
      <w:r>
        <w:rPr>
          <w:rFonts w:eastAsia="等线"/>
        </w:rPr>
        <w:t>5</w:t>
      </w:r>
      <w:r w:rsidRPr="003D4ABF">
        <w:rPr>
          <w:rFonts w:eastAsia="等线"/>
        </w:rPr>
        <w:t>:</w:t>
      </w:r>
      <w:r w:rsidRPr="003D4ABF">
        <w:rPr>
          <w:rFonts w:eastAsia="等线"/>
        </w:rPr>
        <w:tab/>
        <w:t>For the sake of clarity, SEPPs</w:t>
      </w:r>
      <w:r>
        <w:rPr>
          <w:rFonts w:eastAsia="等线"/>
        </w:rPr>
        <w:t xml:space="preserve"> (see definition in clause 6.2.17 of TS 23.501 [2])</w:t>
      </w:r>
      <w:r w:rsidRPr="003D4ABF">
        <w:rPr>
          <w:rFonts w:eastAsia="等线"/>
        </w:rPr>
        <w:t xml:space="preserve"> are not depicted in the roaming reference point architecture figures.</w:t>
      </w:r>
    </w:p>
    <w:p w14:paraId="6E7A9BE3" w14:textId="77777777" w:rsidR="000E44BB" w:rsidRPr="003D4ABF" w:rsidRDefault="000E44BB" w:rsidP="000E44BB">
      <w:r w:rsidRPr="003D4ABF">
        <w:rPr>
          <w:rFonts w:eastAsia="等线"/>
        </w:rPr>
        <w:t>Figure 5.2.2-2 shows the</w:t>
      </w:r>
      <w:r>
        <w:rPr>
          <w:rFonts w:eastAsia="等线"/>
        </w:rPr>
        <w:t xml:space="preserve"> home routed</w:t>
      </w:r>
      <w:r w:rsidRPr="003D4ABF">
        <w:rPr>
          <w:rFonts w:eastAsia="等线"/>
        </w:rPr>
        <w:t xml:space="preserve"> roaming</w:t>
      </w:r>
      <w:r>
        <w:rPr>
          <w:rFonts w:eastAsia="等线"/>
        </w:rPr>
        <w:t xml:space="preserve"> architecture of the</w:t>
      </w:r>
      <w:r w:rsidRPr="003D4ABF">
        <w:rPr>
          <w:rFonts w:eastAsia="等线"/>
        </w:rPr>
        <w:t xml:space="preserve"> policy</w:t>
      </w:r>
      <w:r>
        <w:rPr>
          <w:rFonts w:eastAsia="等线"/>
        </w:rPr>
        <w:t xml:space="preserve"> and charging control</w:t>
      </w:r>
      <w:r w:rsidRPr="003D4ABF">
        <w:rPr>
          <w:rFonts w:eastAsia="等线"/>
        </w:rPr>
        <w:t xml:space="preserve"> framework</w:t>
      </w:r>
      <w:r>
        <w:rPr>
          <w:rFonts w:eastAsia="等线"/>
        </w:rPr>
        <w:t xml:space="preserve"> for the 5G System</w:t>
      </w:r>
      <w:r w:rsidRPr="003D4ABF">
        <w:rPr>
          <w:rFonts w:eastAsia="等线"/>
        </w:rPr>
        <w:t>:</w:t>
      </w:r>
    </w:p>
    <w:p w14:paraId="70BB48F3" w14:textId="77777777" w:rsidR="000E44BB" w:rsidRDefault="000E44BB" w:rsidP="000E44BB">
      <w:pPr>
        <w:pStyle w:val="TH"/>
        <w:rPr>
          <w:rFonts w:eastAsia="等线"/>
        </w:rPr>
      </w:pPr>
      <w:r w:rsidRPr="003D4ABF">
        <w:object w:dxaOrig="9510" w:dyaOrig="3735" w14:anchorId="5CEC1AE7">
          <v:shape id="_x0000_i1031" type="#_x0000_t75" style="width:474.6pt;height:188.35pt" o:ole="">
            <v:imagedata r:id="rId27" o:title=""/>
          </v:shape>
          <o:OLEObject Type="Embed" ProgID="Visio.Drawing.11" ShapeID="_x0000_i1031" DrawAspect="Content" ObjectID="_1800719332" r:id="rId28"/>
        </w:object>
      </w:r>
    </w:p>
    <w:p w14:paraId="5BEA8B49" w14:textId="77777777" w:rsidR="000E44BB" w:rsidRPr="003D4ABF" w:rsidRDefault="000E44BB" w:rsidP="000E44BB">
      <w:pPr>
        <w:pStyle w:val="TF"/>
        <w:rPr>
          <w:rFonts w:eastAsia="等线"/>
        </w:rPr>
      </w:pPr>
      <w:bookmarkStart w:id="40" w:name="_CRFigure5_2_22"/>
      <w:r w:rsidRPr="003D4ABF">
        <w:rPr>
          <w:rFonts w:eastAsia="等线"/>
        </w:rPr>
        <w:t xml:space="preserve">Figure </w:t>
      </w:r>
      <w:bookmarkEnd w:id="40"/>
      <w:r w:rsidRPr="003D4ABF">
        <w:rPr>
          <w:rFonts w:eastAsia="等线"/>
        </w:rPr>
        <w:t>5.2.2-2: Overall roaming reference architecture of policy and charging control framework for the 5G System</w:t>
      </w:r>
      <w:r w:rsidRPr="003D4ABF" w:rsidDel="008A42A4">
        <w:rPr>
          <w:rFonts w:eastAsia="等线"/>
        </w:rPr>
        <w:t xml:space="preserve"> </w:t>
      </w:r>
      <w:r w:rsidRPr="003D4ABF">
        <w:rPr>
          <w:rFonts w:eastAsia="等线"/>
        </w:rPr>
        <w:t>- home routed scenario</w:t>
      </w:r>
    </w:p>
    <w:bookmarkStart w:id="41" w:name="_MON_1632751462"/>
    <w:bookmarkEnd w:id="41"/>
    <w:p w14:paraId="4FEE56D8" w14:textId="77777777" w:rsidR="000E44BB" w:rsidRPr="003D4ABF" w:rsidRDefault="000E44BB" w:rsidP="000E44BB">
      <w:pPr>
        <w:pStyle w:val="TH"/>
        <w:rPr>
          <w:rFonts w:eastAsia="等线"/>
        </w:rPr>
      </w:pPr>
      <w:r w:rsidRPr="003D4ABF">
        <w:object w:dxaOrig="11340" w:dyaOrig="6267" w14:anchorId="68D0F538">
          <v:shape id="_x0000_i1032" type="#_x0000_t75" style="width:437.75pt;height:239.6pt" o:ole="">
            <v:imagedata r:id="rId29" o:title=""/>
          </v:shape>
          <o:OLEObject Type="Embed" ProgID="Word.Picture.8" ShapeID="_x0000_i1032" DrawAspect="Content" ObjectID="_1800719333" r:id="rId30"/>
        </w:object>
      </w:r>
    </w:p>
    <w:p w14:paraId="058688D2" w14:textId="77777777" w:rsidR="000E44BB" w:rsidRPr="003D4ABF" w:rsidRDefault="000E44BB" w:rsidP="000E44BB">
      <w:pPr>
        <w:pStyle w:val="TF"/>
        <w:rPr>
          <w:rFonts w:eastAsia="等线"/>
        </w:rPr>
      </w:pPr>
      <w:bookmarkStart w:id="42" w:name="_CRFigure5_2_22a"/>
      <w:r w:rsidRPr="003D4ABF">
        <w:rPr>
          <w:rFonts w:eastAsia="等线"/>
        </w:rPr>
        <w:t xml:space="preserve">Figure </w:t>
      </w:r>
      <w:bookmarkEnd w:id="42"/>
      <w:r w:rsidRPr="003D4ABF">
        <w:rPr>
          <w:rFonts w:eastAsia="等线"/>
        </w:rPr>
        <w:t>5.2.2-2a: Overall roaming reference architecture of policy and charging control framework for the 5G System</w:t>
      </w:r>
      <w:r w:rsidRPr="003D4ABF" w:rsidDel="008A42A4">
        <w:rPr>
          <w:rFonts w:eastAsia="等线"/>
        </w:rPr>
        <w:t xml:space="preserve"> </w:t>
      </w:r>
      <w:r w:rsidRPr="003D4ABF">
        <w:rPr>
          <w:rFonts w:eastAsia="等线"/>
        </w:rPr>
        <w:t>- home routed scenario (reference point representation)</w:t>
      </w:r>
    </w:p>
    <w:p w14:paraId="153B866E" w14:textId="77777777" w:rsidR="000E44BB" w:rsidRPr="003D4ABF" w:rsidRDefault="000E44BB" w:rsidP="000E44BB">
      <w:pPr>
        <w:pStyle w:val="NO"/>
        <w:rPr>
          <w:rFonts w:eastAsia="等线"/>
        </w:rPr>
      </w:pPr>
      <w:r w:rsidRPr="003D4ABF">
        <w:rPr>
          <w:rFonts w:eastAsia="等线"/>
        </w:rPr>
        <w:t>NOTE 5:</w:t>
      </w:r>
      <w:r w:rsidRPr="003D4ABF">
        <w:rPr>
          <w:rFonts w:eastAsia="等线"/>
          <w:lang w:eastAsia="zh-CN"/>
        </w:rPr>
        <w:tab/>
      </w:r>
      <w:r w:rsidRPr="003D4ABF">
        <w:rPr>
          <w:rFonts w:eastAsia="等线"/>
        </w:rPr>
        <w:t>All functional entities as described in Figure 5.2.1-1 non-roaming scenario applies also to the HPLMN in the home routed scenario above.</w:t>
      </w:r>
    </w:p>
    <w:p w14:paraId="27A0EEE6" w14:textId="77777777" w:rsidR="000E44BB" w:rsidRPr="003D4ABF" w:rsidRDefault="000E44BB" w:rsidP="000E44BB">
      <w:pPr>
        <w:pStyle w:val="NO"/>
        <w:rPr>
          <w:lang w:eastAsia="zh-CN"/>
        </w:rPr>
      </w:pPr>
      <w:r w:rsidRPr="003D4ABF">
        <w:rPr>
          <w:lang w:eastAsia="zh-CN"/>
        </w:rPr>
        <w:t>NOTE 6:</w:t>
      </w:r>
      <w:r w:rsidRPr="003D4ABF">
        <w:rPr>
          <w:lang w:eastAsia="zh-CN"/>
        </w:rPr>
        <w:tab/>
        <w:t>For the sake of clarity, SEPPs</w:t>
      </w:r>
      <w:r>
        <w:rPr>
          <w:lang w:eastAsia="zh-CN"/>
        </w:rPr>
        <w:t xml:space="preserve"> (see definition in clause 6.2.17 of TS 23.501 [2])</w:t>
      </w:r>
      <w:r w:rsidRPr="003D4ABF">
        <w:rPr>
          <w:lang w:eastAsia="zh-CN"/>
        </w:rPr>
        <w:t xml:space="preserve"> are not depicted in the roaming reference point architecture figures.</w:t>
      </w:r>
    </w:p>
    <w:p w14:paraId="63F9A539" w14:textId="77777777" w:rsidR="000E44BB" w:rsidRPr="003D4ABF" w:rsidRDefault="000E44BB" w:rsidP="000E44BB">
      <w:pPr>
        <w:pStyle w:val="NO"/>
        <w:rPr>
          <w:lang w:eastAsia="zh-CN"/>
        </w:rPr>
      </w:pPr>
      <w:bookmarkStart w:id="43" w:name="_CR5_2_3"/>
      <w:bookmarkEnd w:id="43"/>
      <w:r w:rsidRPr="003D4ABF">
        <w:rPr>
          <w:lang w:eastAsia="zh-CN"/>
        </w:rPr>
        <w:t>NOTE </w:t>
      </w:r>
      <w:r>
        <w:rPr>
          <w:lang w:eastAsia="zh-CN"/>
        </w:rPr>
        <w:t>7</w:t>
      </w:r>
      <w:r w:rsidRPr="003D4ABF">
        <w:rPr>
          <w:lang w:eastAsia="zh-CN"/>
        </w:rPr>
        <w:t>:</w:t>
      </w:r>
      <w:r w:rsidRPr="003D4ABF">
        <w:rPr>
          <w:lang w:eastAsia="zh-CN"/>
        </w:rPr>
        <w:tab/>
      </w:r>
      <w:r>
        <w:rPr>
          <w:lang w:eastAsia="zh-CN"/>
        </w:rPr>
        <w:t>For HR roaming scenarios (including HR-SBO PDU Session defined in TS 23.548 [33]), there is no PCF for the PDU Session in the VPLMN.</w:t>
      </w:r>
    </w:p>
    <w:p w14:paraId="3758525F" w14:textId="634ABD87" w:rsidR="000E44BB" w:rsidRPr="003D4ABF" w:rsidRDefault="000E44BB" w:rsidP="000E44BB">
      <w:pPr>
        <w:pStyle w:val="NO"/>
        <w:rPr>
          <w:ins w:id="44" w:author="vivo5" w:date="2025-02-06T15:18:00Z"/>
          <w:lang w:eastAsia="zh-CN"/>
        </w:rPr>
      </w:pPr>
      <w:ins w:id="45" w:author="vivo5" w:date="2025-02-06T15:18:00Z">
        <w:r w:rsidRPr="003D4ABF">
          <w:rPr>
            <w:lang w:eastAsia="zh-CN"/>
          </w:rPr>
          <w:t>NOTE </w:t>
        </w:r>
        <w:r>
          <w:rPr>
            <w:lang w:eastAsia="zh-CN"/>
          </w:rPr>
          <w:t>8</w:t>
        </w:r>
        <w:r w:rsidRPr="003D4ABF">
          <w:rPr>
            <w:lang w:eastAsia="zh-CN"/>
          </w:rPr>
          <w:t>:</w:t>
        </w:r>
        <w:r w:rsidRPr="003D4ABF">
          <w:rPr>
            <w:lang w:eastAsia="zh-CN"/>
          </w:rPr>
          <w:tab/>
        </w:r>
      </w:ins>
      <w:ins w:id="46" w:author="vivo5" w:date="2025-02-06T15:19:00Z">
        <w:r>
          <w:rPr>
            <w:lang w:eastAsia="zh-CN"/>
          </w:rPr>
          <w:t>In this release, there is no EIF</w:t>
        </w:r>
        <w:r w:rsidRPr="000E44BB">
          <w:t xml:space="preserve"> </w:t>
        </w:r>
        <w:r>
          <w:t xml:space="preserve">in </w:t>
        </w:r>
        <w:r w:rsidRPr="000E44BB">
          <w:rPr>
            <w:lang w:eastAsia="zh-CN"/>
          </w:rPr>
          <w:t>roaming architecture of the policy and charging control framework for the 5G System</w:t>
        </w:r>
      </w:ins>
      <w:ins w:id="47" w:author="vivo5" w:date="2025-02-06T15:18:00Z">
        <w:r>
          <w:rPr>
            <w:lang w:eastAsia="zh-CN"/>
          </w:rPr>
          <w:t>.</w:t>
        </w:r>
      </w:ins>
    </w:p>
    <w:p w14:paraId="7EC9C4C9" w14:textId="40F92695" w:rsidR="004E0CFD" w:rsidRPr="00E219EA" w:rsidRDefault="00B81FF7" w:rsidP="004E0C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4E0CFD" w:rsidRPr="00E219EA">
        <w:rPr>
          <w:rFonts w:ascii="Arial" w:hAnsi="Arial"/>
          <w:i/>
          <w:color w:val="FF0000"/>
          <w:sz w:val="24"/>
          <w:lang w:val="en-US"/>
        </w:rPr>
        <w:t xml:space="preserve"> CHANGE</w:t>
      </w:r>
    </w:p>
    <w:p w14:paraId="1894185C" w14:textId="77777777" w:rsidR="00B442D3" w:rsidRDefault="00B442D3" w:rsidP="00B442D3">
      <w:pPr>
        <w:pStyle w:val="30"/>
        <w:rPr>
          <w:ins w:id="48" w:author="vivo5" w:date="2025-02-06T15:40:00Z"/>
        </w:rPr>
      </w:pPr>
      <w:bookmarkStart w:id="49" w:name="_Toc185602071"/>
      <w:ins w:id="50" w:author="vivo5" w:date="2025-02-06T15:40:00Z">
        <w:r>
          <w:t>5.3.x</w:t>
        </w:r>
        <w:r>
          <w:tab/>
          <w:t xml:space="preserve">Interactions between PCF and </w:t>
        </w:r>
        <w:bookmarkEnd w:id="49"/>
        <w:r>
          <w:t>EIF</w:t>
        </w:r>
      </w:ins>
    </w:p>
    <w:p w14:paraId="6CD1D62D" w14:textId="2E876C58" w:rsidR="00B442D3" w:rsidRDefault="00B442D3" w:rsidP="00B442D3">
      <w:pPr>
        <w:rPr>
          <w:ins w:id="51" w:author="vivo5" w:date="2025-02-06T15:40:00Z"/>
        </w:rPr>
      </w:pPr>
      <w:ins w:id="52" w:author="vivo5" w:date="2025-02-06T15:40:00Z">
        <w:r w:rsidRPr="00441A1D">
          <w:t xml:space="preserve">The </w:t>
        </w:r>
        <w:proofErr w:type="spellStart"/>
        <w:r w:rsidRPr="00441A1D">
          <w:t>N</w:t>
        </w:r>
        <w:r>
          <w:t>eif</w:t>
        </w:r>
        <w:proofErr w:type="spellEnd"/>
        <w:r w:rsidRPr="00441A1D">
          <w:t xml:space="preserve"> enables the PCF to </w:t>
        </w:r>
        <w:r>
          <w:t xml:space="preserve">obtain the </w:t>
        </w:r>
        <w:r w:rsidRPr="001523E0">
          <w:t xml:space="preserve">energy </w:t>
        </w:r>
        <w:r>
          <w:t>related</w:t>
        </w:r>
        <w:r w:rsidRPr="001523E0">
          <w:t xml:space="preserve"> information</w:t>
        </w:r>
        <w:r>
          <w:t xml:space="preserve"> as described in clause </w:t>
        </w:r>
        <w:r>
          <w:rPr>
            <w:lang w:eastAsia="zh-CN"/>
          </w:rPr>
          <w:t xml:space="preserve">TS 23.502 [xx] for considering policy </w:t>
        </w:r>
      </w:ins>
      <w:ins w:id="53" w:author="vivo1" w:date="2025-02-06T16:13:00Z">
        <w:r w:rsidR="003F24D8">
          <w:rPr>
            <w:lang w:eastAsia="zh-CN"/>
          </w:rPr>
          <w:t>control</w:t>
        </w:r>
      </w:ins>
      <w:ins w:id="54" w:author="vivo5" w:date="2025-02-06T15:40:00Z">
        <w:r>
          <w:rPr>
            <w:lang w:eastAsia="zh-CN"/>
          </w:rPr>
          <w:t xml:space="preserve">, the </w:t>
        </w:r>
        <w:proofErr w:type="spellStart"/>
        <w:r w:rsidRPr="001523E0">
          <w:rPr>
            <w:lang w:eastAsia="zh-CN"/>
          </w:rPr>
          <w:t>N</w:t>
        </w:r>
        <w:r>
          <w:rPr>
            <w:lang w:eastAsia="zh-CN"/>
          </w:rPr>
          <w:t>eif</w:t>
        </w:r>
        <w:proofErr w:type="spellEnd"/>
        <w:r w:rsidRPr="001523E0">
          <w:rPr>
            <w:lang w:eastAsia="zh-CN"/>
          </w:rPr>
          <w:t xml:space="preserve"> interface supports the following functions</w:t>
        </w:r>
        <w:r>
          <w:rPr>
            <w:lang w:eastAsia="zh-CN"/>
          </w:rPr>
          <w:t>:</w:t>
        </w:r>
      </w:ins>
    </w:p>
    <w:p w14:paraId="49126E80" w14:textId="77777777" w:rsidR="00B442D3" w:rsidRDefault="00B442D3" w:rsidP="00B442D3">
      <w:pPr>
        <w:pStyle w:val="B1"/>
        <w:rPr>
          <w:ins w:id="55" w:author="vivo5" w:date="2025-02-06T15:40:00Z"/>
        </w:rPr>
      </w:pPr>
      <w:ins w:id="56" w:author="vivo5" w:date="2025-02-06T15:40:00Z">
        <w:r>
          <w:t>-</w:t>
        </w:r>
        <w:r>
          <w:tab/>
          <w:t>Notifying the energy consumption information from EIF to PCF.</w:t>
        </w:r>
      </w:ins>
    </w:p>
    <w:p w14:paraId="6326072E" w14:textId="07F778A1" w:rsidR="00B442D3" w:rsidRDefault="00B442D3" w:rsidP="00B442D3">
      <w:pPr>
        <w:pStyle w:val="B1"/>
        <w:rPr>
          <w:ins w:id="57" w:author="vivo5" w:date="2025-02-06T15:40:00Z"/>
        </w:rPr>
      </w:pPr>
      <w:ins w:id="58" w:author="vivo5" w:date="2025-02-06T15:40:00Z">
        <w:r>
          <w:t>-</w:t>
        </w:r>
        <w:r>
          <w:tab/>
          <w:t>Allowing PCF to subscribe and unsubscribe for energy consumption information</w:t>
        </w:r>
      </w:ins>
      <w:ins w:id="59" w:author="vivo1" w:date="2025-02-06T16:13:00Z">
        <w:r w:rsidR="00DD73D8">
          <w:t xml:space="preserve"> from EIF</w:t>
        </w:r>
      </w:ins>
      <w:ins w:id="60" w:author="vivo5" w:date="2025-02-06T15:40:00Z">
        <w:r>
          <w:t>.</w:t>
        </w:r>
      </w:ins>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1" w:name="_CR5_15_18_3"/>
      <w:bookmarkStart w:id="62" w:name="_CR5_15_19"/>
      <w:bookmarkEnd w:id="1"/>
      <w:bookmarkEnd w:id="2"/>
      <w:bookmarkEnd w:id="3"/>
      <w:bookmarkEnd w:id="4"/>
      <w:bookmarkEnd w:id="5"/>
      <w:bookmarkEnd w:id="6"/>
      <w:bookmarkEnd w:id="7"/>
      <w:bookmarkEnd w:id="8"/>
      <w:bookmarkEnd w:id="9"/>
      <w:bookmarkEnd w:id="18"/>
      <w:bookmarkEnd w:id="61"/>
      <w:bookmarkEnd w:id="6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6B182" w14:textId="77777777" w:rsidR="00CF1484" w:rsidRDefault="00CF1484">
      <w:r>
        <w:separator/>
      </w:r>
    </w:p>
  </w:endnote>
  <w:endnote w:type="continuationSeparator" w:id="0">
    <w:p w14:paraId="454CDBA8" w14:textId="77777777" w:rsidR="00CF1484" w:rsidRDefault="00CF1484">
      <w:r>
        <w:continuationSeparator/>
      </w:r>
    </w:p>
  </w:endnote>
  <w:endnote w:type="continuationNotice" w:id="1">
    <w:p w14:paraId="2670FA23" w14:textId="77777777" w:rsidR="00CF1484" w:rsidRDefault="00CF1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B4E92" w14:textId="77777777" w:rsidR="00CF1484" w:rsidRDefault="00CF1484">
      <w:r>
        <w:separator/>
      </w:r>
    </w:p>
  </w:footnote>
  <w:footnote w:type="continuationSeparator" w:id="0">
    <w:p w14:paraId="6321035E" w14:textId="77777777" w:rsidR="00CF1484" w:rsidRDefault="00CF1484">
      <w:r>
        <w:continuationSeparator/>
      </w:r>
    </w:p>
  </w:footnote>
  <w:footnote w:type="continuationNotice" w:id="1">
    <w:p w14:paraId="66163861" w14:textId="77777777" w:rsidR="00CF1484" w:rsidRDefault="00CF1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1D8" w:rsidRDefault="008E01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1D8" w:rsidRDefault="008E01D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1D8" w:rsidRDefault="008E01D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1D8" w:rsidRDefault="008E01D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93A"/>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39EE"/>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44BB"/>
    <w:rsid w:val="000E57C1"/>
    <w:rsid w:val="000E60A4"/>
    <w:rsid w:val="000E6F6B"/>
    <w:rsid w:val="000E71D2"/>
    <w:rsid w:val="000E7459"/>
    <w:rsid w:val="000F344A"/>
    <w:rsid w:val="000F3F81"/>
    <w:rsid w:val="000F408F"/>
    <w:rsid w:val="000F5129"/>
    <w:rsid w:val="000F69A0"/>
    <w:rsid w:val="000F72EC"/>
    <w:rsid w:val="00103177"/>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23E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556"/>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439E"/>
    <w:rsid w:val="0026004D"/>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15A"/>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247"/>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4D8"/>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A1D"/>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2F9"/>
    <w:rsid w:val="004C0772"/>
    <w:rsid w:val="004C41A2"/>
    <w:rsid w:val="004C482B"/>
    <w:rsid w:val="004C56E4"/>
    <w:rsid w:val="004C5DB0"/>
    <w:rsid w:val="004D0CFD"/>
    <w:rsid w:val="004D21BF"/>
    <w:rsid w:val="004D273F"/>
    <w:rsid w:val="004D6D2F"/>
    <w:rsid w:val="004D6D5A"/>
    <w:rsid w:val="004D7AC5"/>
    <w:rsid w:val="004E03B5"/>
    <w:rsid w:val="004E096A"/>
    <w:rsid w:val="004E0CFD"/>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A20"/>
    <w:rsid w:val="00527E88"/>
    <w:rsid w:val="005323CD"/>
    <w:rsid w:val="00532C2D"/>
    <w:rsid w:val="0054394B"/>
    <w:rsid w:val="00547111"/>
    <w:rsid w:val="00547BBC"/>
    <w:rsid w:val="00550F57"/>
    <w:rsid w:val="00553449"/>
    <w:rsid w:val="00555EF0"/>
    <w:rsid w:val="005570FD"/>
    <w:rsid w:val="005607A7"/>
    <w:rsid w:val="00560C9E"/>
    <w:rsid w:val="0056157F"/>
    <w:rsid w:val="00565CE1"/>
    <w:rsid w:val="00565D8C"/>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4C7F"/>
    <w:rsid w:val="00755703"/>
    <w:rsid w:val="00755A6B"/>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B7B86"/>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75F64"/>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1D8"/>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AEE"/>
    <w:rsid w:val="00937BF6"/>
    <w:rsid w:val="00937E5B"/>
    <w:rsid w:val="009404EE"/>
    <w:rsid w:val="00940812"/>
    <w:rsid w:val="00940E28"/>
    <w:rsid w:val="00941E30"/>
    <w:rsid w:val="009430E4"/>
    <w:rsid w:val="0094320F"/>
    <w:rsid w:val="00943855"/>
    <w:rsid w:val="00943F8D"/>
    <w:rsid w:val="009447FD"/>
    <w:rsid w:val="00945B5D"/>
    <w:rsid w:val="00950F1C"/>
    <w:rsid w:val="00951F8E"/>
    <w:rsid w:val="00953BB2"/>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16D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417"/>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A7AD0"/>
    <w:rsid w:val="00AB054E"/>
    <w:rsid w:val="00AB16B1"/>
    <w:rsid w:val="00AB1C1C"/>
    <w:rsid w:val="00AB26AA"/>
    <w:rsid w:val="00AB2DC3"/>
    <w:rsid w:val="00AB3330"/>
    <w:rsid w:val="00AB5F81"/>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2D3"/>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1FF7"/>
    <w:rsid w:val="00B822A2"/>
    <w:rsid w:val="00B86D66"/>
    <w:rsid w:val="00B909EE"/>
    <w:rsid w:val="00B92DAD"/>
    <w:rsid w:val="00B93C71"/>
    <w:rsid w:val="00B940B7"/>
    <w:rsid w:val="00B95CE4"/>
    <w:rsid w:val="00B968C8"/>
    <w:rsid w:val="00B97E79"/>
    <w:rsid w:val="00BA0D2D"/>
    <w:rsid w:val="00BA1304"/>
    <w:rsid w:val="00BA14BF"/>
    <w:rsid w:val="00BA2074"/>
    <w:rsid w:val="00BA2233"/>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65F"/>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26E8"/>
    <w:rsid w:val="00C144BE"/>
    <w:rsid w:val="00C14845"/>
    <w:rsid w:val="00C2308C"/>
    <w:rsid w:val="00C235FA"/>
    <w:rsid w:val="00C23713"/>
    <w:rsid w:val="00C242A9"/>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715"/>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B7DCF"/>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1484"/>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A0AA9"/>
    <w:rsid w:val="00DA3324"/>
    <w:rsid w:val="00DB1F4F"/>
    <w:rsid w:val="00DB20E5"/>
    <w:rsid w:val="00DB4189"/>
    <w:rsid w:val="00DB4702"/>
    <w:rsid w:val="00DB694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3D8"/>
    <w:rsid w:val="00DE1428"/>
    <w:rsid w:val="00DE1DA3"/>
    <w:rsid w:val="00DE310E"/>
    <w:rsid w:val="00DE34CF"/>
    <w:rsid w:val="00DE44B8"/>
    <w:rsid w:val="00DE53C5"/>
    <w:rsid w:val="00DE5FA7"/>
    <w:rsid w:val="00DE6ABA"/>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1F9"/>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47F"/>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37741"/>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3DB1"/>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C76A05-8826-450C-BB5D-2C1E7895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20F901CE-4E8E-42FD-8EA9-9672D1CE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8539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18</cp:revision>
  <cp:lastPrinted>1900-01-02T02:00:00Z</cp:lastPrinted>
  <dcterms:created xsi:type="dcterms:W3CDTF">2025-01-22T07:30:00Z</dcterms:created>
  <dcterms:modified xsi:type="dcterms:W3CDTF">2025-02-10T10:35:00Z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